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5C" w:rsidRDefault="001C2C5C" w:rsidP="00491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64</w:t>
      </w:r>
    </w:p>
    <w:p w:rsidR="00491C6B" w:rsidRDefault="00F260F2" w:rsidP="00491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91C6B">
        <w:rPr>
          <w:rFonts w:ascii="Times New Roman" w:eastAsia="Times New Roman" w:hAnsi="Times New Roman" w:cs="Times New Roman"/>
          <w:b/>
          <w:bCs/>
        </w:rPr>
        <w:t xml:space="preserve">IMÁGENES EN ADRENALITIS TUBERCULOSA - REPORTE DE UN CASO </w:t>
      </w:r>
    </w:p>
    <w:p w:rsidR="00491C6B" w:rsidRDefault="00F260F2" w:rsidP="00491C6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491C6B">
        <w:rPr>
          <w:rFonts w:ascii="Times New Roman" w:eastAsia="Times New Roman" w:hAnsi="Times New Roman" w:cs="Times New Roman"/>
        </w:rPr>
        <w:t>G</w:t>
      </w:r>
      <w:r w:rsidR="00491C6B">
        <w:rPr>
          <w:rFonts w:ascii="Times New Roman" w:eastAsia="Times New Roman" w:hAnsi="Times New Roman" w:cs="Times New Roman"/>
        </w:rPr>
        <w:t xml:space="preserve">abriela </w:t>
      </w:r>
      <w:proofErr w:type="spellStart"/>
      <w:r w:rsidR="00491C6B">
        <w:rPr>
          <w:rFonts w:ascii="Times New Roman" w:eastAsia="Times New Roman" w:hAnsi="Times New Roman" w:cs="Times New Roman"/>
        </w:rPr>
        <w:t>Doberti</w:t>
      </w:r>
      <w:proofErr w:type="spellEnd"/>
      <w:r w:rsidR="00491C6B">
        <w:rPr>
          <w:rFonts w:ascii="Times New Roman" w:eastAsia="Times New Roman" w:hAnsi="Times New Roman" w:cs="Times New Roman"/>
        </w:rPr>
        <w:t xml:space="preserve"> Dragnic</w:t>
      </w:r>
      <w:r w:rsidRPr="00491C6B">
        <w:rPr>
          <w:rFonts w:ascii="Times New Roman" w:eastAsia="Times New Roman" w:hAnsi="Times New Roman" w:cs="Times New Roman"/>
          <w:vertAlign w:val="superscript"/>
        </w:rPr>
        <w:t>1</w:t>
      </w:r>
      <w:r w:rsidRPr="00491C6B">
        <w:rPr>
          <w:rFonts w:ascii="Times New Roman" w:eastAsia="Times New Roman" w:hAnsi="Times New Roman" w:cs="Times New Roman"/>
        </w:rPr>
        <w:t>, F</w:t>
      </w:r>
      <w:r w:rsidR="00491C6B">
        <w:rPr>
          <w:rFonts w:ascii="Times New Roman" w:eastAsia="Times New Roman" w:hAnsi="Times New Roman" w:cs="Times New Roman"/>
        </w:rPr>
        <w:t>ernando Osorio Gonnet</w:t>
      </w:r>
      <w:r w:rsidRPr="00491C6B">
        <w:rPr>
          <w:rFonts w:ascii="Times New Roman" w:eastAsia="Times New Roman" w:hAnsi="Times New Roman" w:cs="Times New Roman"/>
          <w:vertAlign w:val="superscript"/>
        </w:rPr>
        <w:t>1</w:t>
      </w:r>
      <w:r w:rsidRPr="00491C6B">
        <w:rPr>
          <w:rFonts w:ascii="Times New Roman" w:eastAsia="Times New Roman" w:hAnsi="Times New Roman" w:cs="Times New Roman"/>
        </w:rPr>
        <w:t>, F</w:t>
      </w:r>
      <w:r w:rsidR="00491C6B">
        <w:rPr>
          <w:rFonts w:ascii="Times New Roman" w:eastAsia="Times New Roman" w:hAnsi="Times New Roman" w:cs="Times New Roman"/>
        </w:rPr>
        <w:t xml:space="preserve">rancisca </w:t>
      </w:r>
      <w:proofErr w:type="spellStart"/>
      <w:r w:rsidR="00491C6B">
        <w:rPr>
          <w:rFonts w:ascii="Times New Roman" w:eastAsia="Times New Roman" w:hAnsi="Times New Roman" w:cs="Times New Roman"/>
        </w:rPr>
        <w:t>Illanes</w:t>
      </w:r>
      <w:proofErr w:type="spellEnd"/>
      <w:r w:rsidR="00491C6B">
        <w:rPr>
          <w:rFonts w:ascii="Times New Roman" w:eastAsia="Times New Roman" w:hAnsi="Times New Roman" w:cs="Times New Roman"/>
        </w:rPr>
        <w:t xml:space="preserve"> Diez</w:t>
      </w:r>
      <w:r w:rsidRPr="00491C6B">
        <w:rPr>
          <w:rFonts w:ascii="Times New Roman" w:eastAsia="Times New Roman" w:hAnsi="Times New Roman" w:cs="Times New Roman"/>
          <w:vertAlign w:val="superscript"/>
        </w:rPr>
        <w:t>2</w:t>
      </w:r>
    </w:p>
    <w:p w:rsidR="00417127" w:rsidRPr="00491C6B" w:rsidRDefault="00F260F2" w:rsidP="00491C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1C6B">
        <w:rPr>
          <w:rFonts w:ascii="Times New Roman" w:eastAsia="Times New Roman" w:hAnsi="Times New Roman" w:cs="Times New Roman"/>
          <w:vertAlign w:val="superscript"/>
        </w:rPr>
        <w:t>1</w:t>
      </w:r>
      <w:r w:rsidRPr="00491C6B">
        <w:rPr>
          <w:rFonts w:ascii="Times New Roman" w:eastAsia="Times New Roman" w:hAnsi="Times New Roman" w:cs="Times New Roman"/>
        </w:rPr>
        <w:t>S</w:t>
      </w:r>
      <w:r w:rsidR="00491C6B">
        <w:rPr>
          <w:rFonts w:ascii="Times New Roman" w:eastAsia="Times New Roman" w:hAnsi="Times New Roman" w:cs="Times New Roman"/>
        </w:rPr>
        <w:t>ervicio de Medicina Interna, Hospital Padre Hurtado</w:t>
      </w:r>
      <w:r w:rsidRPr="00491C6B">
        <w:rPr>
          <w:rFonts w:ascii="Times New Roman" w:eastAsia="Times New Roman" w:hAnsi="Times New Roman" w:cs="Times New Roman"/>
        </w:rPr>
        <w:t xml:space="preserve">, </w:t>
      </w:r>
      <w:r w:rsidRPr="00491C6B">
        <w:rPr>
          <w:rFonts w:ascii="Times New Roman" w:eastAsia="Times New Roman" w:hAnsi="Times New Roman" w:cs="Times New Roman"/>
          <w:vertAlign w:val="superscript"/>
        </w:rPr>
        <w:t>2</w:t>
      </w:r>
      <w:r w:rsidRPr="00491C6B">
        <w:rPr>
          <w:rFonts w:ascii="Times New Roman" w:eastAsia="Times New Roman" w:hAnsi="Times New Roman" w:cs="Times New Roman"/>
        </w:rPr>
        <w:t>Hospital Padre Alberto Hurtado (San Ramón)</w:t>
      </w:r>
    </w:p>
    <w:p w:rsidR="009A6A96" w:rsidRPr="00491C6B" w:rsidRDefault="00F260F2" w:rsidP="00491C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91C6B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>Varón de 52 años, antecedente de Tuberculosis (TBC) pulmonar tratada en 1982. Consulta por dos meses de baja de peso 15 kg, anorexia, nauseas, dolor abdominal difuso y lipotimias; ingresa a urgencia, hipotenso (PA 87/61) y subfebril (37.8ºC). Glicemia 109 mg/dL, Sodio 133 mEq/L, Potasio 4.8 mEq/</w:t>
      </w:r>
      <w:proofErr w:type="spellStart"/>
      <w:r w:rsidRPr="00491C6B">
        <w:rPr>
          <w:sz w:val="22"/>
          <w:szCs w:val="22"/>
        </w:rPr>
        <w:t>Lt</w:t>
      </w:r>
      <w:proofErr w:type="spellEnd"/>
      <w:r w:rsidRPr="00491C6B">
        <w:rPr>
          <w:sz w:val="22"/>
          <w:szCs w:val="22"/>
        </w:rPr>
        <w:t>, Creatinina 1.43 mg/dL, GB 9.2 x 10</w:t>
      </w:r>
      <w:r w:rsidRPr="00491C6B">
        <w:rPr>
          <w:sz w:val="22"/>
          <w:szCs w:val="22"/>
          <w:vertAlign w:val="superscript"/>
        </w:rPr>
        <w:t>3</w:t>
      </w:r>
      <w:r w:rsidRPr="00491C6B">
        <w:rPr>
          <w:sz w:val="22"/>
          <w:szCs w:val="22"/>
        </w:rPr>
        <w:t xml:space="preserve"> /UL, segmentados 45% y linfocitos 42%, PCR 36 mg/L. </w:t>
      </w:r>
      <w:proofErr w:type="spellStart"/>
      <w:r w:rsidRPr="00491C6B">
        <w:rPr>
          <w:sz w:val="22"/>
          <w:szCs w:val="22"/>
        </w:rPr>
        <w:t>Rx</w:t>
      </w:r>
      <w:proofErr w:type="spellEnd"/>
      <w:r w:rsidRPr="00491C6B">
        <w:rPr>
          <w:sz w:val="22"/>
          <w:szCs w:val="22"/>
        </w:rPr>
        <w:t xml:space="preserve"> de tórax lesiones cicatriciales lóbulo pulmonar derecho. Tomografía computada (TC) de abdomen y pelvis con aumento de tamaño de ambas glándulas suprarrenales (6 y 6.4 CM), sin captación de contraste, sin adenopatías. Informado inicialmente como hiperplasia suprarrenal versus infiltración.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 xml:space="preserve">Cortisol basal de 0.6 ug/dL (VN 6-25), ACTH no disponible, DHEA-S 15.4 ug/dL (VN 44.3-331), TSH 2.97 </w:t>
      </w:r>
      <w:proofErr w:type="spellStart"/>
      <w:r w:rsidRPr="00491C6B">
        <w:rPr>
          <w:sz w:val="22"/>
          <w:szCs w:val="22"/>
        </w:rPr>
        <w:t>mlU</w:t>
      </w:r>
      <w:proofErr w:type="spellEnd"/>
      <w:r w:rsidRPr="00491C6B">
        <w:rPr>
          <w:sz w:val="22"/>
          <w:szCs w:val="22"/>
        </w:rPr>
        <w:t xml:space="preserve">/L. PPD: 14 mm (Reactor franco), ELISPOT &gt; 20 (&gt; a 8 positivo), 4 </w:t>
      </w:r>
      <w:proofErr w:type="spellStart"/>
      <w:r w:rsidRPr="00491C6B">
        <w:rPr>
          <w:sz w:val="22"/>
          <w:szCs w:val="22"/>
        </w:rPr>
        <w:t>baciloscopías</w:t>
      </w:r>
      <w:proofErr w:type="spellEnd"/>
      <w:r w:rsidRPr="00491C6B">
        <w:rPr>
          <w:sz w:val="22"/>
          <w:szCs w:val="22"/>
        </w:rPr>
        <w:t xml:space="preserve"> y cultivo Koch en orina negativos.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>Resonancia magnética (RM) suprarrenal: lesiones bilaterales simétricas con necrosis central compatibles de compromiso tuberculoso activo.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 xml:space="preserve">Inicia hidrocortisona 20 mg am -10 mg pm, </w:t>
      </w:r>
      <w:proofErr w:type="spellStart"/>
      <w:r w:rsidRPr="00491C6B">
        <w:rPr>
          <w:sz w:val="22"/>
          <w:szCs w:val="22"/>
        </w:rPr>
        <w:t>fludrocortisona</w:t>
      </w:r>
      <w:proofErr w:type="spellEnd"/>
      <w:r w:rsidRPr="00491C6B">
        <w:rPr>
          <w:sz w:val="22"/>
          <w:szCs w:val="22"/>
        </w:rPr>
        <w:t xml:space="preserve"> 0.05 mg con buena respuesta clínica y de laboratorio, y tratamiento TBC. TC al año informa menor tamaño de glándulas suprarrenales (5.6 y 5.7 CM).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91C6B">
        <w:rPr>
          <w:b/>
          <w:sz w:val="22"/>
          <w:szCs w:val="22"/>
        </w:rPr>
        <w:t>DISCUSIÓN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>La insuficiencia suprarrenal secundaria a TBC es infrecuente (7-20% de los casos); la infección suele permanecer clínicamente silente durante décadas y en el momento de las manifestaciones clínicas, ya se ha destruido el 90% de éstas.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>La TC y la RM juegan rol importante en la evaluación, dado que la apariencia de las glándulas depende de los cambios patológicos, duración de la enfermedad y tratamiento antituberculoso.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 xml:space="preserve">Se presenta el caso centrado en las imágenes, debido a sus características típicas de </w:t>
      </w:r>
      <w:proofErr w:type="spellStart"/>
      <w:r w:rsidRPr="00491C6B">
        <w:rPr>
          <w:sz w:val="22"/>
          <w:szCs w:val="22"/>
        </w:rPr>
        <w:t>adrenalitis</w:t>
      </w:r>
      <w:proofErr w:type="spellEnd"/>
      <w:r w:rsidRPr="00491C6B">
        <w:rPr>
          <w:sz w:val="22"/>
          <w:szCs w:val="22"/>
        </w:rPr>
        <w:t xml:space="preserve"> tuberculosa, fundamentales en el diagnóstico y tratamiento, las que por la menor prevalencia actual de TBC en nuestro país vemos excepcionalmente en la práctica clínica.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>Las características que se describen en la TC en una etapa inicial, consiste en aumento de volumen de las glándulas suprarrenales, generalmente bilaterales, con contornos definidos y disminución central de la densidad con realce periférico. En fase más tardía, las glándulas se atrofian y aparecen calcificaciones, indicando TBC de larga data o quiescente.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 xml:space="preserve">En RM, se observan </w:t>
      </w:r>
      <w:proofErr w:type="spellStart"/>
      <w:r w:rsidRPr="00491C6B">
        <w:rPr>
          <w:sz w:val="22"/>
          <w:szCs w:val="22"/>
        </w:rPr>
        <w:t>isointensas</w:t>
      </w:r>
      <w:proofErr w:type="spellEnd"/>
      <w:r w:rsidRPr="00491C6B">
        <w:rPr>
          <w:sz w:val="22"/>
          <w:szCs w:val="22"/>
        </w:rPr>
        <w:t xml:space="preserve"> o </w:t>
      </w:r>
      <w:proofErr w:type="spellStart"/>
      <w:r w:rsidRPr="00491C6B">
        <w:rPr>
          <w:sz w:val="22"/>
          <w:szCs w:val="22"/>
        </w:rPr>
        <w:t>hipointensas</w:t>
      </w:r>
      <w:proofErr w:type="spellEnd"/>
      <w:r w:rsidRPr="00491C6B">
        <w:rPr>
          <w:sz w:val="22"/>
          <w:szCs w:val="22"/>
        </w:rPr>
        <w:t xml:space="preserve"> en T1, e </w:t>
      </w:r>
      <w:proofErr w:type="spellStart"/>
      <w:r w:rsidRPr="00491C6B">
        <w:rPr>
          <w:sz w:val="22"/>
          <w:szCs w:val="22"/>
        </w:rPr>
        <w:t>hiperintensas</w:t>
      </w:r>
      <w:proofErr w:type="spellEnd"/>
      <w:r w:rsidRPr="00491C6B">
        <w:rPr>
          <w:sz w:val="22"/>
          <w:szCs w:val="22"/>
        </w:rPr>
        <w:t xml:space="preserve"> en T2 inicialmente, y en las etapas tardías, las glándulas se observan </w:t>
      </w:r>
      <w:proofErr w:type="spellStart"/>
      <w:r w:rsidRPr="00491C6B">
        <w:rPr>
          <w:sz w:val="22"/>
          <w:szCs w:val="22"/>
        </w:rPr>
        <w:t>hipointensas</w:t>
      </w:r>
      <w:proofErr w:type="spellEnd"/>
      <w:r w:rsidRPr="00491C6B">
        <w:rPr>
          <w:sz w:val="22"/>
          <w:szCs w:val="22"/>
        </w:rPr>
        <w:t xml:space="preserve"> en todas las secuencias.</w:t>
      </w:r>
    </w:p>
    <w:p w:rsidR="009A6A96" w:rsidRPr="00491C6B" w:rsidRDefault="00F260F2" w:rsidP="00491C6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1C6B">
        <w:rPr>
          <w:sz w:val="22"/>
          <w:szCs w:val="22"/>
        </w:rPr>
        <w:t>El diagnóstico de certeza se obtiene con la biopsia, pero en zonas donde aún no se ha erradicado la tuberculosis, las imágenes características en TC o RM permiten considerar este diagnóstico.</w:t>
      </w:r>
    </w:p>
    <w:p w:rsidR="00F260F2" w:rsidRPr="00491C6B" w:rsidRDefault="00F260F2" w:rsidP="00491C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1C6B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491C6B">
        <w:rPr>
          <w:rFonts w:ascii="Times New Roman" w:eastAsia="Times New Roman" w:hAnsi="Times New Roman" w:cs="Times New Roman"/>
        </w:rPr>
        <w:t xml:space="preserve">Sin financiamiento </w:t>
      </w:r>
    </w:p>
    <w:sectPr w:rsidR="00F260F2" w:rsidRPr="00491C6B" w:rsidSect="009A6A96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516C"/>
    <w:rsid w:val="001C2C5C"/>
    <w:rsid w:val="00417127"/>
    <w:rsid w:val="00491C6B"/>
    <w:rsid w:val="0090516C"/>
    <w:rsid w:val="009A6A96"/>
    <w:rsid w:val="00EA51E2"/>
    <w:rsid w:val="00F2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A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2018-08-06T19:41:00Z</dcterms:created>
  <dcterms:modified xsi:type="dcterms:W3CDTF">2018-09-30T20:54:00Z</dcterms:modified>
</cp:coreProperties>
</file>